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B3698D" w14:textId="1FF20112" w:rsidR="000E3A56" w:rsidRPr="005C4A5B" w:rsidRDefault="005C4A5B" w:rsidP="0095130D">
      <w:pPr>
        <w:spacing w:after="0" w:line="48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5C4A5B">
        <w:rPr>
          <w:rFonts w:ascii="Garamond" w:hAnsi="Garamond"/>
          <w:b/>
          <w:bCs/>
          <w:sz w:val="24"/>
          <w:szCs w:val="24"/>
        </w:rPr>
        <w:t>Supplementary Materials</w:t>
      </w:r>
    </w:p>
    <w:p w14:paraId="221FD872" w14:textId="3ABF5D23" w:rsidR="005C4A5B" w:rsidRDefault="005C4A5B" w:rsidP="0095130D">
      <w:pPr>
        <w:spacing w:after="0" w:line="480" w:lineRule="auto"/>
        <w:rPr>
          <w:rFonts w:ascii="Garamond" w:hAnsi="Garamond"/>
          <w:sz w:val="24"/>
          <w:szCs w:val="24"/>
        </w:rPr>
      </w:pPr>
    </w:p>
    <w:p w14:paraId="5A64EBBE" w14:textId="34818125" w:rsidR="005C4A5B" w:rsidRDefault="005C4A5B" w:rsidP="0095130D">
      <w:pPr>
        <w:spacing w:after="0" w:line="48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In this Supplementary Materials document, we present additional details on: (1) the descriptive statistics of our key variables, (2) additional analyses when </w:t>
      </w:r>
      <w:r w:rsidR="00ED40DB">
        <w:rPr>
          <w:rFonts w:ascii="Garamond" w:hAnsi="Garamond"/>
          <w:sz w:val="24"/>
          <w:szCs w:val="24"/>
        </w:rPr>
        <w:t xml:space="preserve">using sub types of </w:t>
      </w:r>
      <w:r>
        <w:rPr>
          <w:rFonts w:ascii="Garamond" w:hAnsi="Garamond"/>
          <w:sz w:val="24"/>
          <w:szCs w:val="24"/>
        </w:rPr>
        <w:t>online political participation</w:t>
      </w:r>
      <w:r w:rsidR="00ED40DB">
        <w:rPr>
          <w:rFonts w:ascii="Garamond" w:hAnsi="Garamond"/>
          <w:sz w:val="24"/>
          <w:szCs w:val="24"/>
        </w:rPr>
        <w:t xml:space="preserve"> as dependent variables</w:t>
      </w:r>
      <w:r>
        <w:rPr>
          <w:rFonts w:ascii="Garamond" w:hAnsi="Garamond"/>
          <w:sz w:val="24"/>
          <w:szCs w:val="24"/>
        </w:rPr>
        <w:t>.</w:t>
      </w:r>
    </w:p>
    <w:p w14:paraId="1447006C" w14:textId="0172C887" w:rsidR="005C4A5B" w:rsidRDefault="005C4A5B" w:rsidP="0095130D">
      <w:pPr>
        <w:pStyle w:val="ListParagraph"/>
        <w:numPr>
          <w:ilvl w:val="0"/>
          <w:numId w:val="1"/>
        </w:numPr>
        <w:spacing w:after="0" w:line="48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Descriptive Statistics on key variables </w:t>
      </w:r>
    </w:p>
    <w:p w14:paraId="2B8381D7" w14:textId="39B4D805" w:rsidR="0095130D" w:rsidRDefault="0095130D" w:rsidP="0095130D">
      <w:pPr>
        <w:pStyle w:val="ListParagraph"/>
        <w:spacing w:after="0" w:line="48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Below, we present the mean, standard deviation, minimum and maximum values of our key variables. </w:t>
      </w:r>
    </w:p>
    <w:p w14:paraId="69D00E35" w14:textId="6DBDF1A6" w:rsidR="0095130D" w:rsidRDefault="0095130D" w:rsidP="0095130D">
      <w:pPr>
        <w:pStyle w:val="ListParagraph"/>
        <w:rPr>
          <w:rFonts w:ascii="Garamond" w:hAnsi="Garamond"/>
          <w:sz w:val="24"/>
          <w:szCs w:val="24"/>
        </w:rPr>
      </w:pPr>
    </w:p>
    <w:p w14:paraId="2AEC6AD0" w14:textId="505A2B14" w:rsidR="0095130D" w:rsidRPr="0095130D" w:rsidRDefault="0095130D" w:rsidP="0095130D">
      <w:pPr>
        <w:pStyle w:val="ListParagraph"/>
        <w:jc w:val="center"/>
        <w:rPr>
          <w:rFonts w:ascii="Garamond" w:hAnsi="Garamond"/>
          <w:b/>
          <w:bCs/>
          <w:sz w:val="24"/>
          <w:szCs w:val="24"/>
        </w:rPr>
      </w:pPr>
      <w:r w:rsidRPr="0095130D">
        <w:rPr>
          <w:rFonts w:ascii="Garamond" w:hAnsi="Garamond"/>
          <w:b/>
          <w:bCs/>
          <w:sz w:val="24"/>
          <w:szCs w:val="24"/>
        </w:rPr>
        <w:t>Table 1. Descriptive Statistics of Key Variables</w:t>
      </w:r>
    </w:p>
    <w:p w14:paraId="241727B3" w14:textId="77777777" w:rsidR="005C4A5B" w:rsidRPr="0095130D" w:rsidRDefault="005C4A5B" w:rsidP="0095130D">
      <w:pPr>
        <w:pStyle w:val="ListParagraph"/>
        <w:jc w:val="center"/>
        <w:rPr>
          <w:rFonts w:ascii="Times New Roman" w:eastAsia="Times New Roman" w:hAnsi="Times New Roman" w:cs="Times New Roman"/>
          <w:b/>
          <w:bCs/>
          <w:noProof/>
          <w:color w:val="FF0000"/>
          <w:bdr w:val="none" w:sz="0" w:space="0" w:color="auto" w:frame="1"/>
          <w:shd w:val="clear" w:color="auto" w:fill="FFFFFF"/>
        </w:rPr>
      </w:pPr>
    </w:p>
    <w:p w14:paraId="5845287D" w14:textId="7199607A" w:rsidR="005C4A5B" w:rsidRDefault="005C4A5B" w:rsidP="0095130D">
      <w:pPr>
        <w:pStyle w:val="ListParagraph"/>
        <w:jc w:val="center"/>
        <w:rPr>
          <w:rFonts w:ascii="Garamond" w:hAnsi="Garamond"/>
          <w:sz w:val="24"/>
          <w:szCs w:val="24"/>
        </w:rPr>
      </w:pPr>
      <w:r w:rsidRPr="00866C94">
        <w:rPr>
          <w:rFonts w:ascii="Times New Roman" w:eastAsia="Times New Roman" w:hAnsi="Times New Roman" w:cs="Times New Roman"/>
          <w:b/>
          <w:bCs/>
          <w:noProof/>
          <w:color w:val="FF0000"/>
          <w:bdr w:val="none" w:sz="0" w:space="0" w:color="auto" w:frame="1"/>
          <w:shd w:val="clear" w:color="auto" w:fill="FFFFFF"/>
        </w:rPr>
        <w:drawing>
          <wp:inline distT="0" distB="0" distL="0" distR="0" wp14:anchorId="5DC0AC8C" wp14:editId="78F15B0E">
            <wp:extent cx="4667097" cy="4299053"/>
            <wp:effectExtent l="0" t="0" r="635" b="635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56"/>
                    <a:stretch/>
                  </pic:blipFill>
                  <pic:spPr bwMode="auto">
                    <a:xfrm>
                      <a:off x="0" y="0"/>
                      <a:ext cx="4673797" cy="4305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114A89" w14:textId="77777777" w:rsidR="005C4A5B" w:rsidRDefault="005C4A5B" w:rsidP="005C4A5B">
      <w:pPr>
        <w:pStyle w:val="ListParagraph"/>
        <w:rPr>
          <w:rFonts w:ascii="Garamond" w:hAnsi="Garamond"/>
          <w:sz w:val="24"/>
          <w:szCs w:val="24"/>
        </w:rPr>
      </w:pPr>
    </w:p>
    <w:p w14:paraId="7A3CE148" w14:textId="5E3F3027" w:rsidR="0095130D" w:rsidRDefault="0095130D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br w:type="page"/>
      </w:r>
    </w:p>
    <w:p w14:paraId="392742FA" w14:textId="77777777" w:rsidR="005C4A5B" w:rsidRDefault="005C4A5B" w:rsidP="005C4A5B">
      <w:pPr>
        <w:pStyle w:val="ListParagraph"/>
        <w:rPr>
          <w:rFonts w:ascii="Garamond" w:hAnsi="Garamond"/>
          <w:sz w:val="24"/>
          <w:szCs w:val="24"/>
        </w:rPr>
      </w:pPr>
    </w:p>
    <w:p w14:paraId="7B6B980F" w14:textId="77777777" w:rsidR="00ED40DB" w:rsidRDefault="00ED40DB" w:rsidP="00ED40DB">
      <w:pPr>
        <w:pStyle w:val="ListParagraph"/>
        <w:numPr>
          <w:ilvl w:val="0"/>
          <w:numId w:val="1"/>
        </w:numPr>
        <w:spacing w:after="0" w:line="48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Additional analyses when using sub types of online political participation as dependent variables.</w:t>
      </w:r>
    </w:p>
    <w:p w14:paraId="4C44D4E3" w14:textId="35F06BCE" w:rsidR="005C4A5B" w:rsidRPr="00ED40DB" w:rsidRDefault="0095130D" w:rsidP="00ED40DB">
      <w:pPr>
        <w:pStyle w:val="ListParagraph"/>
        <w:spacing w:after="0" w:line="48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 order to double check whether Internet-related resources (Computer/Internet Access, Internet Competency and Social Media Use) have a significant effect on each of the sub-type of online participation, we broke down online participation into its sub-types and ran the same analyses</w:t>
      </w:r>
      <w:r w:rsidR="00ED40DB">
        <w:rPr>
          <w:rFonts w:ascii="Garamond" w:hAnsi="Garamond"/>
          <w:sz w:val="24"/>
          <w:szCs w:val="24"/>
        </w:rPr>
        <w:t xml:space="preserve"> by using the sub types as dependent variables. The results are presented in the table below</w:t>
      </w:r>
      <w:r>
        <w:rPr>
          <w:rFonts w:ascii="Garamond" w:hAnsi="Garamond"/>
          <w:sz w:val="24"/>
          <w:szCs w:val="24"/>
        </w:rPr>
        <w:t xml:space="preserve">. The results show that social media have a positive and significant effect on both  </w:t>
      </w:r>
      <w:r w:rsidR="00CC73A9">
        <w:rPr>
          <w:rFonts w:ascii="Garamond" w:hAnsi="Garamond"/>
          <w:sz w:val="24"/>
          <w:szCs w:val="24"/>
        </w:rPr>
        <w:t>“Offer Suggestions to Governmental Official</w:t>
      </w:r>
      <w:r w:rsidR="00ED40DB">
        <w:rPr>
          <w:rFonts w:ascii="Garamond" w:hAnsi="Garamond"/>
          <w:sz w:val="24"/>
          <w:szCs w:val="24"/>
        </w:rPr>
        <w:t>s Online</w:t>
      </w:r>
      <w:r w:rsidR="00CC73A9">
        <w:rPr>
          <w:rFonts w:ascii="Garamond" w:hAnsi="Garamond"/>
          <w:sz w:val="24"/>
          <w:szCs w:val="24"/>
        </w:rPr>
        <w:t>” and “</w:t>
      </w:r>
      <w:r w:rsidR="00ED40DB">
        <w:rPr>
          <w:rFonts w:ascii="Garamond" w:hAnsi="Garamond"/>
          <w:sz w:val="24"/>
          <w:szCs w:val="24"/>
        </w:rPr>
        <w:t xml:space="preserve">Post or </w:t>
      </w:r>
      <w:r w:rsidR="00A95DD9">
        <w:rPr>
          <w:rFonts w:ascii="Garamond" w:hAnsi="Garamond"/>
          <w:sz w:val="24"/>
          <w:szCs w:val="24"/>
        </w:rPr>
        <w:t>Repp</w:t>
      </w:r>
      <w:r w:rsidR="00ED40DB">
        <w:rPr>
          <w:rFonts w:ascii="Garamond" w:hAnsi="Garamond"/>
          <w:sz w:val="24"/>
          <w:szCs w:val="24"/>
        </w:rPr>
        <w:t>ost Political Commentaries Online.</w:t>
      </w:r>
      <w:r w:rsidR="00CC73A9">
        <w:rPr>
          <w:rFonts w:ascii="Garamond" w:hAnsi="Garamond"/>
          <w:sz w:val="24"/>
          <w:szCs w:val="24"/>
        </w:rPr>
        <w:t>”</w:t>
      </w:r>
      <w:r w:rsidR="00ED40DB">
        <w:rPr>
          <w:rFonts w:ascii="Garamond" w:hAnsi="Garamond"/>
          <w:sz w:val="24"/>
          <w:szCs w:val="24"/>
        </w:rPr>
        <w:t xml:space="preserve"> Multi-point Computer/Internet Access helps citizens with “Monitoring Policy making Online.”</w:t>
      </w:r>
    </w:p>
    <w:p w14:paraId="3CA354C8" w14:textId="77777777" w:rsidR="0095130D" w:rsidRDefault="0095130D" w:rsidP="005C4A5B">
      <w:pPr>
        <w:pStyle w:val="ListParagraph"/>
        <w:rPr>
          <w:rFonts w:ascii="Times New Roman" w:eastAsia="Times New Roman" w:hAnsi="Times New Roman" w:cs="Times New Roman"/>
          <w:noProof/>
          <w:color w:val="222222"/>
          <w:bdr w:val="none" w:sz="0" w:space="0" w:color="auto" w:frame="1"/>
          <w:shd w:val="clear" w:color="auto" w:fill="FFFFFF"/>
        </w:rPr>
      </w:pPr>
    </w:p>
    <w:p w14:paraId="3D251017" w14:textId="3404F121" w:rsidR="005C4A5B" w:rsidRDefault="005C4A5B" w:rsidP="005C4A5B">
      <w:pPr>
        <w:pStyle w:val="ListParagraph"/>
        <w:rPr>
          <w:rFonts w:ascii="Garamond" w:hAnsi="Garamond"/>
          <w:sz w:val="24"/>
          <w:szCs w:val="24"/>
        </w:rPr>
      </w:pPr>
      <w:r w:rsidRPr="00866C94">
        <w:rPr>
          <w:rFonts w:ascii="Times New Roman" w:eastAsia="Times New Roman" w:hAnsi="Times New Roman" w:cs="Times New Roman"/>
          <w:noProof/>
          <w:color w:val="222222"/>
          <w:bdr w:val="none" w:sz="0" w:space="0" w:color="auto" w:frame="1"/>
          <w:shd w:val="clear" w:color="auto" w:fill="FFFFFF"/>
        </w:rPr>
        <w:drawing>
          <wp:inline distT="0" distB="0" distL="0" distR="0" wp14:anchorId="29C440C1" wp14:editId="726BFE3A">
            <wp:extent cx="5943600" cy="3950284"/>
            <wp:effectExtent l="0" t="0" r="0" b="0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96"/>
                    <a:stretch/>
                  </pic:blipFill>
                  <pic:spPr bwMode="auto">
                    <a:xfrm>
                      <a:off x="0" y="0"/>
                      <a:ext cx="5943600" cy="3950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C6A34E" w14:textId="6F73D33B" w:rsidR="005C4A5B" w:rsidRDefault="005C4A5B" w:rsidP="005C4A5B">
      <w:pPr>
        <w:pStyle w:val="ListParagraph"/>
        <w:rPr>
          <w:rFonts w:ascii="Garamond" w:hAnsi="Garamond"/>
          <w:sz w:val="24"/>
          <w:szCs w:val="24"/>
        </w:rPr>
      </w:pPr>
    </w:p>
    <w:p w14:paraId="497B6DDA" w14:textId="728A2451" w:rsidR="005C4A5B" w:rsidRPr="00ED40DB" w:rsidRDefault="005C4A5B" w:rsidP="00ED40DB">
      <w:pPr>
        <w:rPr>
          <w:rFonts w:ascii="Garamond" w:hAnsi="Garamond"/>
          <w:sz w:val="24"/>
          <w:szCs w:val="24"/>
        </w:rPr>
      </w:pPr>
    </w:p>
    <w:sectPr w:rsidR="005C4A5B" w:rsidRPr="00ED40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AD170AB"/>
    <w:multiLevelType w:val="hybridMultilevel"/>
    <w:tmpl w:val="A6F213E4"/>
    <w:lvl w:ilvl="0" w:tplc="7FDCB9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3E6"/>
    <w:rsid w:val="0002061A"/>
    <w:rsid w:val="003F2844"/>
    <w:rsid w:val="005C4A5B"/>
    <w:rsid w:val="007039A8"/>
    <w:rsid w:val="0095130D"/>
    <w:rsid w:val="00A00029"/>
    <w:rsid w:val="00A95DD9"/>
    <w:rsid w:val="00CC73A9"/>
    <w:rsid w:val="00E453E6"/>
    <w:rsid w:val="00ED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684DC"/>
  <w15:chartTrackingRefBased/>
  <w15:docId w15:val="{EDDDF6E8-18CE-44A4-A78B-370D33293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4A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 Xu</dc:creator>
  <cp:keywords/>
  <dc:description/>
  <cp:lastModifiedBy>Ping Xu</cp:lastModifiedBy>
  <cp:revision>5</cp:revision>
  <dcterms:created xsi:type="dcterms:W3CDTF">2022-05-25T08:09:00Z</dcterms:created>
  <dcterms:modified xsi:type="dcterms:W3CDTF">2022-05-26T13:49:00Z</dcterms:modified>
</cp:coreProperties>
</file>